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Чек лист реализации управленческого цикла по направлению:</w:t>
      </w:r>
      <w:r/>
    </w:p>
    <w:p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Объективность оценки качества обучающихся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»</w:t>
      </w:r>
      <w:r/>
    </w:p>
    <w:tbl>
      <w:tblPr>
        <w:tblStyle w:val="604"/>
        <w:tblW w:w="14799" w:type="dxa"/>
        <w:tblInd w:w="279" w:type="dxa"/>
        <w:tblLook w:val="04A0" w:firstRow="1" w:lastRow="0" w:firstColumn="1" w:lastColumn="0" w:noHBand="0" w:noVBand="1"/>
      </w:tblPr>
      <w:tblGrid>
        <w:gridCol w:w="1929"/>
        <w:gridCol w:w="2331"/>
        <w:gridCol w:w="3018"/>
        <w:gridCol w:w="5251"/>
        <w:gridCol w:w="2257"/>
        <w:gridCol w:w="13"/>
      </w:tblGrid>
      <w:tr>
        <w:trPr/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5"/>
            <w:tcW w:w="12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Поручение отдела образования администрации Московского района.</w:t>
            </w:r>
            <w:r/>
          </w:p>
        </w:tc>
        <w:tc>
          <w:tcPr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(Приказ)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районного управленческого цикла.</w:t>
            </w:r>
            <w:r/>
          </w:p>
        </w:tc>
        <w:tc>
          <w:tcPr>
            <w:tcW w:w="22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>
          <w:gridAfter w:val="1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1.1.2. Сбалансированность системы оценки качества подготовки обучающихся</w:t>
            </w:r>
            <w:r/>
          </w:p>
        </w:tc>
      </w:tr>
      <w:tr>
        <w:trPr>
          <w:gridAfter w:val="1"/>
        </w:trPr>
        <w:tc>
          <w:tcPr>
            <w:gridSpan w:val="5"/>
            <w:tcW w:w="1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Содействие региону в реализации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объективной ВСОКО в каждой ОО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от 31 августа 2020 года Педагогического совета ГБУ ДППО ЦПКС ИМЦ Московского района Санкт-Петербурга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9" w:tooltip="https://disk.yandex.ru/i/NE0jqfWV-NkrLw" w:history="1">
              <w:r>
                <w:rPr>
                  <w:rStyle w:val="605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Положение о районной системе оценки качества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функционирования системы оценки качества образования в Московском районе является получение и 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достоверной информации о состоянии и результатах образовательной деятельности, тенденциях изменения качества дошкольного, начального общего, основного общего, среднего общего образования, дополнительного образования, дополнительного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и причинах, влияющих на его уровень, для формирования информационной основы принятия управленческих решений и обеспечения функционирования CП6 PCOKO на уровне Московского района Санкт-Петербурга в соответствии с моделью и положением о CП6 PCOKO.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COKO Московского района в зависимости от задач региональной системы, а также параметров текущего состояния, уровня и динамики структур образовательной системы в области оценки качества образования Московского района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следующие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методические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управленческие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информационные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22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П.2,3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4.5.1 и 7.2.1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117 от 01.09.2020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0" w:tooltip="https://disk.yandex.ru/i/gOiDOzlN215gAg" w:history="1">
              <w:r>
                <w:rPr>
                  <w:rStyle w:val="605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Об утверждении Положения о районной системе оценки качества образования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совершенствования районной системы управления и оценки качества образования, повышения качества подготовки обучающихся Московского района Санкт-Петербурга</w:t>
            </w:r>
            <w:r/>
          </w:p>
        </w:tc>
        <w:tc>
          <w:tcPr>
            <w:tcW w:w="22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ИМЦ от 23.03.2021 №31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" w:tooltip="https://disk.yandex.ru/i/e_9M3XBi0L5f3w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Об организации контроля соблюдения Порядка проведения ВПР в ОУ района</w:t>
              </w:r>
            </w:hyperlink>
            <w:r/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объективности процедур оценки качества образования и контроля соблюдения Порядка проведения ВПР в ОО</w:t>
            </w:r>
            <w:r/>
          </w:p>
        </w:tc>
        <w:tc>
          <w:tcPr>
            <w:tcW w:w="22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ОО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ИМЦ от 12.10.2021 №97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/>
            <w:hyperlink r:id="rId12" w:tooltip="https://disk.yandex.ru/i/XED9v2CRF0SYCA" w:history="1">
              <w:r>
                <w:rPr>
                  <w:rStyle w:val="605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Порядок организации региональных диагностических работ и мероприятий по объективности процедуры РДР в государственных образовательных организациях Московского района </w:t>
              </w:r>
              <w:r>
                <w:rPr>
                  <w:rStyle w:val="605"/>
                  <w:rFonts w:ascii="Times New Roman" w:hAnsi="Times New Roman" w:cs="Times New Roman" w:eastAsia="Times New Roman"/>
                  <w:bCs/>
                  <w:sz w:val="24"/>
                  <w:szCs w:val="24"/>
                  <w:lang w:eastAsia="ru-RU"/>
                </w:rPr>
                <w:t xml:space="preserve">Санкт-Петербург</w:t>
              </w:r>
            </w:hyperlink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а</w:t>
            </w:r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Комитета по образованию от 08.09.2021 № 2527-р «Об утверждении порядка организации проведения региональных диагностических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в государственных организациях Санкт-Петербурга, реализующих основные общеобразовательные программы», распоряжением Комитета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от 08.09.2021 № 2537-р «Об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проведения региональных диагностических работ в государственных организациях Санкт-Петербурга, реализующих основные общеобразовательные программы в 2021/2022 учебном году» и поручением отдела образования администрации Московского района Санкт-Петербурга</w:t>
            </w:r>
            <w:r/>
          </w:p>
        </w:tc>
        <w:tc>
          <w:tcPr>
            <w:tcW w:w="22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</w:t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129 от 24.12.2021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rPr>
                <w:rStyle w:val="605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instrText xml:space="preserve"> HYPERLINK "https://disk.yandex.ru/i/lQNiJqeQB-KoMg" </w:instrTex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05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О принятии к исполнению План-графика (дорожной карты) реализации</w:t>
            </w:r>
            <w:r/>
          </w:p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605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в Московском районе Санкт-Петербурга проекта по оказанию адресной помощи общеобразовательным учреждения, имеющим низкие образовательные результаты обучающихся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распоряжения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образованию от 15.12.2021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3319-р</w:t>
            </w:r>
            <w:r/>
          </w:p>
          <w:p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работы с общеобразовательными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реализующими основные образовательные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начального общего,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и среднего общего образования, имеющими низкие образовательные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обучающихся», План-графика (дорожной карты) реализации в Московском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районе Санкт-Петербурга проекта по оказанию адресной помощи общеобразовательным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имеющим низкие образовательные результаты </w:t>
            </w:r>
            <w:r/>
          </w:p>
        </w:tc>
        <w:tc>
          <w:tcPr>
            <w:tcW w:w="22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W w:w="19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r>
            <w:r/>
          </w:p>
        </w:tc>
        <w:tc>
          <w:tcPr>
            <w:shd w:val="clear" w:color="auto" w:fill="auto"/>
            <w:tcW w:w="23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15/1 от 03.03.22</w:t>
            </w:r>
            <w:r/>
          </w:p>
        </w:tc>
        <w:tc>
          <w:tcPr>
            <w:tcW w:w="3018" w:type="dxa"/>
            <w:textDirection w:val="lrTb"/>
            <w:noWrap w:val="false"/>
          </w:tcPr>
          <w:p>
            <w:pPr>
              <w:jc w:val="both"/>
              <w:rPr>
                <w:rStyle w:val="605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instrText xml:space="preserve"> HYPERLINK "https://disk.yandex.ru/i/EyRXayUt-MfDiQ" </w:instrTex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Style w:val="605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Об организации контроля соблюдения Порядка проведения всероссийских проверочных работ в образовательных организациях</w:t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605"/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Московского района Санкт-Петербурга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fldChar w:fldCharType="end"/>
            </w:r>
            <w:r/>
          </w:p>
        </w:tc>
        <w:tc>
          <w:tcPr>
            <w:tcW w:w="5251" w:type="dxa"/>
            <w:textDirection w:val="lrTb"/>
            <w:noWrap w:val="false"/>
          </w:tcPr>
          <w:p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объективности процедур оценки качества образования и контроля соблюдения Порядка проведения всероссийских проверочных работ в образовательных организациях Московского района Санкт-Петербурга</w:t>
            </w:r>
            <w:r/>
          </w:p>
        </w:tc>
        <w:tc>
          <w:tcPr>
            <w:tcW w:w="22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1701"/>
      </w:pPr>
      <w:r/>
      <w:r/>
    </w:p>
    <w:tbl>
      <w:tblPr>
        <w:tblStyle w:val="604"/>
        <w:tblW w:w="14742" w:type="dxa"/>
        <w:tblInd w:w="279" w:type="dxa"/>
        <w:tblLook w:val="04A0" w:firstRow="1" w:lastRow="0" w:firstColumn="1" w:lastColumn="0" w:noHBand="0" w:noVBand="1"/>
      </w:tblPr>
      <w:tblGrid>
        <w:gridCol w:w="3402"/>
        <w:gridCol w:w="9072"/>
        <w:gridCol w:w="2268"/>
      </w:tblGrid>
      <w:tr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Поручение отдела образования администрации Московского района.</w:t>
            </w:r>
            <w:r/>
          </w:p>
        </w:tc>
        <w:tc>
          <w:tcPr>
            <w:shd w:val="clear" w:color="auto" w:fill="ffffff" w:themeFill="background1"/>
            <w:tcW w:w="9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Анализ, решения и рекомендации, реализация мер.</w:t>
            </w:r>
            <w:r/>
          </w:p>
        </w:tc>
        <w:tc>
          <w:tcPr>
            <w:shd w:val="clear" w:color="auto" w:fill="ffffff" w:themeFill="background1"/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</w:t>
            </w:r>
            <w:r/>
          </w:p>
        </w:tc>
      </w:tr>
      <w:tr>
        <w:trPr/>
        <w:tc>
          <w:tcPr>
            <w:gridSpan w:val="3"/>
            <w:tcW w:w="14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1.1.2.1.2. Содействие региону в реализации мер по формированию объективной ВСОКО в каждой ОО</w:t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3" w:tooltip="https://disk.yandex.ru/i/FwyQmcKYcfHFYA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Аналитическая справка СОКО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4" w:tooltip="https://disk.yandex.ru/i/MpOsPXFMFGugiA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Аналитическая справка о состоянии полноты данных в АИСУ «Параграф» для Рейтинга образовательных организаций по кадровому обеспечению 2020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справка по данному вопросу</w:t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https://disk.yandex.ru/i/CXW5WsXrIKiHcw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Аналитическая справка о состоянии полноты данных в АИСУ «Параграф» для Рейтинга образовательных организаций по кадровому обеспечению 2022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6" w:tooltip="https://disk.yandex.ru/i/zos3ynYo9DXTYg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Аналитическая справка о состоянии полноты данных в АИСУ «Параграф» для Рейтинга образовательных организаций по качеству условий ведения образовательной деятельности 2020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справка по данному вопросу.</w:t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7" w:tooltip="https://disk.yandex.ru/i/uDtH5Dv-3UfheQ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Аналитическая справка о состоянии полноты данных в АИСУ «Параграф» для Рейтинга образовательных организаций по качеству условий ведения образовательной деятельности 2022</w:t>
              </w:r>
            </w:hyperlink>
            <w:r/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справка по данному вопросу.</w:t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8" w:tooltip="https://disk.yandex.ru/i/AdFJvD_nOp806w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Аналитическая справка по ВСОКО Кейсы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9" w:tooltip="https://disk.yandex.ru/i/VeKQGUlEqRbU_A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Аналитическая справка по метод.мероприятиям 2021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0" w:tooltip="https://disk.yandex.ru/i/lR87vnlEbbD5yA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Отдельные показатели мониторинга Система оценки качества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1" w:tooltip="https://disk.yandex.ru/i/yiOzvqWXztyJPw" w:history="1">
              <w:r>
                <w:rPr>
                  <w:rStyle w:val="605"/>
                  <w:rFonts w:ascii="Times New Roman" w:hAnsi="Times New Roman" w:cs="Times New Roman"/>
                  <w:sz w:val="24"/>
                  <w:szCs w:val="24"/>
                </w:rPr>
                <w:t xml:space="preserve">Справка ВСОКО _КПК_РАб.группы_Самообследование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1701"/>
      </w:pPr>
      <w:r/>
      <w:r/>
    </w:p>
    <w:p>
      <w:pPr>
        <w:ind w:left="1701"/>
      </w:pPr>
      <w:r/>
      <w:r/>
    </w:p>
    <w:sectPr>
      <w:footnotePr/>
      <w:endnotePr/>
      <w:type w:val="nextPage"/>
      <w:pgSz w:w="16838" w:h="11906" w:orient="landscape"/>
      <w:pgMar w:top="426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57" w:hanging="479"/>
      </w:pPr>
      <w:rPr>
        <w:rFonts w:hint="default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357" w:hanging="479"/>
      </w:pPr>
      <w:rPr>
        <w:rFonts w:ascii="Times New Roman" w:hAnsi="Times New Roman" w:cs="Times New Roman" w:eastAsia="Times New Roman" w:hint="default"/>
        <w:sz w:val="26"/>
        <w:szCs w:val="26"/>
        <w:lang w:val="ru-RU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396" w:hanging="479"/>
      </w:pPr>
      <w:rPr>
        <w:rFonts w:hint="default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414" w:hanging="479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432" w:hanging="479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450" w:hanging="479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468" w:hanging="479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7486" w:hanging="479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8504" w:hanging="479"/>
      </w:pPr>
      <w:rPr>
        <w:rFonts w:hint="default"/>
        <w:lang w:val="ru-RU" w:bidi="ar-S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05">
    <w:name w:val="Hyperlink"/>
    <w:basedOn w:val="601"/>
    <w:uiPriority w:val="99"/>
    <w:unhideWhenUsed/>
    <w:rPr>
      <w:color w:val="0563C1" w:themeColor="hyperlink"/>
      <w:u w:val="single"/>
    </w:rPr>
  </w:style>
  <w:style w:type="character" w:styleId="606" w:customStyle="1">
    <w:name w:val="Unresolved Mention"/>
    <w:basedOn w:val="60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i/NE0jqfWV-NkrLw" TargetMode="External"/><Relationship Id="rId10" Type="http://schemas.openxmlformats.org/officeDocument/2006/relationships/hyperlink" Target="https://disk.yandex.ru/i/gOiDOzlN215gAg" TargetMode="External"/><Relationship Id="rId11" Type="http://schemas.openxmlformats.org/officeDocument/2006/relationships/hyperlink" Target="https://disk.yandex.ru/i/e_9M3XBi0L5f3w" TargetMode="External"/><Relationship Id="rId12" Type="http://schemas.openxmlformats.org/officeDocument/2006/relationships/hyperlink" Target="https://disk.yandex.ru/i/XED9v2CRF0SYCA" TargetMode="External"/><Relationship Id="rId13" Type="http://schemas.openxmlformats.org/officeDocument/2006/relationships/hyperlink" Target="https://disk.yandex.ru/i/FwyQmcKYcfHFYA" TargetMode="External"/><Relationship Id="rId14" Type="http://schemas.openxmlformats.org/officeDocument/2006/relationships/hyperlink" Target="https://disk.yandex.ru/i/MpOsPXFMFGugiA" TargetMode="External"/><Relationship Id="rId15" Type="http://schemas.openxmlformats.org/officeDocument/2006/relationships/hyperlink" Target="https://disk.yandex.ru/i/CXW5WsXrIKiHcw" TargetMode="External"/><Relationship Id="rId16" Type="http://schemas.openxmlformats.org/officeDocument/2006/relationships/hyperlink" Target="https://disk.yandex.ru/i/zos3ynYo9DXTYg" TargetMode="External"/><Relationship Id="rId17" Type="http://schemas.openxmlformats.org/officeDocument/2006/relationships/hyperlink" Target="https://disk.yandex.ru/i/uDtH5Dv-3UfheQ" TargetMode="External"/><Relationship Id="rId18" Type="http://schemas.openxmlformats.org/officeDocument/2006/relationships/hyperlink" Target="https://disk.yandex.ru/i/AdFJvD_nOp806w" TargetMode="External"/><Relationship Id="rId19" Type="http://schemas.openxmlformats.org/officeDocument/2006/relationships/hyperlink" Target="https://disk.yandex.ru/i/VeKQGUlEqRbU_A" TargetMode="External"/><Relationship Id="rId20" Type="http://schemas.openxmlformats.org/officeDocument/2006/relationships/hyperlink" Target="https://disk.yandex.ru/i/lR87vnlEbbD5yA" TargetMode="External"/><Relationship Id="rId21" Type="http://schemas.openxmlformats.org/officeDocument/2006/relationships/hyperlink" Target="https://disk.yandex.ru/i/yiOzvqWXztyJP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Надежда Лебедева</cp:lastModifiedBy>
  <cp:revision>8</cp:revision>
  <dcterms:created xsi:type="dcterms:W3CDTF">2022-08-23T09:57:00Z</dcterms:created>
  <dcterms:modified xsi:type="dcterms:W3CDTF">2022-08-25T12:34:11Z</dcterms:modified>
</cp:coreProperties>
</file>