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>
        <w:trPr>
          <w:trHeight w:val="284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object w:dxaOrig="1080" w:dyaOrig="103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mso-wrap-distance-left:0.0pt;mso-wrap-distance-top:0.0pt;mso-wrap-distance-right:0.0pt;mso-wrap-distance-bottom:0.0pt;width:57.0pt;height:51.6pt;" filled="f" stroked="f">
                  <v:path textboxrect="0,0,0,0"/>
                  <v:imagedata r:id="rId8" o:title=""/>
                </v:shape>
                <o:OLEObject DrawAspect="Content" r:id="rId9" ObjectID="_1525040" ProgID="MSPhotoEd.3" ShapeID="_x0000_i0" Type="Embed"/>
              </w:objec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ru-RU" w:eastAsia="ru-RU"/>
              </w:rPr>
              <w:t xml:space="preserve">Государственное бюджетное учреждение дополнительного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ru-RU" w:eastAsia="ru-RU"/>
              </w:rPr>
              <w:t xml:space="preserve">профессионального педагогического образования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ru-RU" w:eastAsia="ru-RU"/>
              </w:rPr>
              <w:t xml:space="preserve">центр повышения квалификации специалистов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val="ru-RU" w:eastAsia="ru-RU"/>
              </w:rPr>
              <w:t xml:space="preserve">ИНФОРМАЦИОННО-МЕТОДИЧЕСКИЙ ЦЕНТР </w:t>
            </w:r>
            <w:r/>
          </w:p>
          <w:p>
            <w:pPr>
              <w:jc w:val="center"/>
              <w:keepNext/>
              <w:spacing w:after="0" w:line="240" w:lineRule="auto"/>
              <w:tabs>
                <w:tab w:val="left" w:pos="3680" w:leader="none"/>
              </w:tabs>
              <w:rPr>
                <w:rFonts w:ascii="Times New Roman" w:hAnsi="Times New Roman" w:cs="Times New Roman" w:eastAsia="Times New Roman"/>
                <w:sz w:val="26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lang w:eastAsia="ru-RU"/>
              </w:rPr>
              <w:t xml:space="preserve">Московского района Санкт-Петербурга</w:t>
            </w:r>
            <w:r/>
          </w:p>
        </w:tc>
      </w:tr>
      <w:tr>
        <w:trPr>
          <w:trHeight w:val="1430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ru-RU" w:eastAsia="ru-RU"/>
              </w:rPr>
              <w:t xml:space="preserve">196135, Санкт-Петербург, ул. Ленсовета, д.6, т. 241-37-93</w:t>
            </w:r>
            <w:r/>
          </w:p>
          <w:p>
            <w:pPr>
              <w:jc w:val="center"/>
              <w:keepNext/>
              <w:spacing w:before="480" w:after="240" w:line="240" w:lineRule="auto"/>
              <w:rPr>
                <w:rFonts w:ascii="Times New Roman" w:hAnsi="Times New Roman" w:cs="Times New Roman" w:eastAsia="Times New Roman"/>
                <w:b/>
                <w:bCs/>
                <w:iCs/>
                <w:spacing w:val="8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cs="Times New Roman" w:eastAsia="Times New Roman"/>
                <w:b/>
                <w:bCs/>
                <w:iCs/>
                <w:spacing w:val="80"/>
                <w:sz w:val="28"/>
                <w:szCs w:val="28"/>
                <w:lang w:eastAsia="ru-RU"/>
              </w:rPr>
              <w:t xml:space="preserve">АНАЛИТИЧЕСКАЯ СПРАВКА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</w:tbl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включению руководящего состава ДОУ в инновационную деятельность района по развитию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процедур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оценки качества дошкольного образования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2020-2021 учебном году в рамках деятельности «Школы аудита»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подготовительном этапе осуществлялся сбор информации по разным направлениям предстоящей работы.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Предстояло определить стартовые условия деятельности, проблемные поля, возможности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кластеров среди дошкольных образовательных организаций района, изучить имеющиеся практики оценки качества работы детских садов и их влияние на повышение качества и управлением им в условиях конкретных дошкольных образовательных организаций.  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Первоначально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интересовали аспекты понимания сущности качества дошкольного образования разными субъектами деятельности (руководители, педагоги, родители), способность выделить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 показатели, которые свидетельствуют о достижении учреждением дошкольного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определенного уровня качества,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или отсутствие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инструментария для оценки качества деятельности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использование полученной информации для повышения качества работы педагогического коллектива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обраб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отке полученной информации, нами было выявлено, что для всех субъектов деятельности на первом месте – безопасные условия пребывания ребенка в детском саду, доброжелательный и профессионально компетентный состав педагогов, желание ребенка идти в детский сад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Выделение таких показателей было очевидным, но сложно поддающимся измерениям. При этом, вся собираемая информация о ходе и результатах работы детских садов, проводимых в ходе мониторинговых процедур косвенно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ражала соответствие этим данным, что свидетельствует о невозможности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онструктивно управлять качеством работы детского сада, тем более сравнивать достигнутые результаты с другими детскими садами и понимать за счет чего, каким образом удается соответствовать предъявляемым требованиям к учреждениям данного уровня образования. 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Отвечая на вопросы по поводу инструментария оценки качества дошкольного образования, руководители и педагоги отмечали, что не проводят внутреннюю оценку качества деятельности дошкольной образовательной организации, а судят о качестве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 по результатам мониторинга (уровням освоения детьми основной образовательной программы) или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проведенных процедур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независимой оценки качества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дошкольной образовательной организации. Эти данные так же свидетельствуют, что руководители и педагоги используют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уже имеющийся инструмент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арий, отмечая его трудоемкость.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руководителей полученная информация является основанием для определения задач работы на ближайшую перспективу (находит отражением в годовом плане)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никак не связана с мероприятиями по управлению качеством деятельности дошкольной образовательной организации.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Параллельно участниками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рабочей группы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экспериментальной деятельности велась работа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изучению и оценке имеющихся практик оценки качества деятельности дошкольных образовательных организаций для определения возможных продуктов экспериментальной деятельности и выработки механизмов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руководителями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итогам подготовительного этапа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методистами дошкольного образования ИМЦ Московского района было проведено рабочее совещание, где обсуждались результаты полученной информации, выявлялись условия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включенного участия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руководителей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дошкольных образовательных организаций в создание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внутренней оценки качества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форматы поддержки участников – практиков.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моделирующем этапе с учетом результатов подготовительной работы были отобра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 оценочные процедуры, позволяющие собрать информацию и выявить уровень качества работы дошкольной образовательной организации в комплексе оценки их результатов, процесса и условий работы.  Первоначально созданная карта внутренней оценки качества деятельн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ости дошкольной образовательной организации была апробирована с целью использования полученной информации в рамках планируемого августовского педагогического совета, предстоящей разработки районной программы развития образования и локальных стратегических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проектов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 развития дошкольных образовательных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й. 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Используя активные методы работы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августовск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рабочими группами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были выработаны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основные направления развития районной системы образования, опирающиеся на достижения и области возможных преобразований в деятельности конкретных детских садов. Это не только объединило усилия разных субъектов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дошкольным образованием, но и продемонстрировало как полученные результаты внутренней оценки качества деятельности дошкольных образовательных организаций могут образовывать кластеры и общие задачи по управлению качеством дошкольного образования.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Выделенные направления развития районной системы образования стали не только ориентиром для разработки проекта-программы развития дошкольной образовательной организации, но и близкими, понятными,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актуальными стратегическими задачами, опирающимися на результаты внутренней оценки качества деятельности учреждений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участников. По результатам августовского педагогического совета была запущена работ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аудита, где был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осуществлено не только знакомство с новым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инструментом внутренней оценки качества деятельности дошкольной образовательной организации, даны практико-ориентированные рекомендации по разработке программы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но и был запущен еще один механизм взаимодействия адресной поддержки представителей дошкольных образовательных организаций. 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Следует отметить,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этом этапе работы была апробирована технология сбора, обработки и хранения информации о результатах оценочных процедур и контекстной информации. После этого, карта внутренней оценки качества деятельности дошкольной образовательной организации претерпела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первое видоизменение. Выяснилось, что для руководителей достаточно сложно было при заполнении карты оценки приводить конкретные примеры, подтверждающие наличие того или иного показателя. Им было проще указать о наличии используемых современных технологиях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дать обоснование выбору и уточнить влиян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ие на особенности развития детей дошкольного возраста было уже сложнее. Надо отметить, что этот шаг работы в плане усовершенствования карты внутренней оценки качества деятельности дошкольной образовательной организации был переломным для руководителей, ког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они осознали, что эта процедура оценки носит не контролирующий характер, а мотивационно – сопровождающий, когда пришло понимание, что нужны показатели и индикаторы качества, которые составляют основу корректирующих мероприятий в условиях детского сада. 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Выявив свои слабые и сильные 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ороны в деятельности дошкольных образовательных организаций, руководители смогли дать объективную оценку возможностей участия детского сада в планируемых к реализации проектов в рамках программы развития района, ведь они сами инициировали их. Таким образом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 удалось определить приоритетные задачи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вверенных им учреждениям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которые нашли отражение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развития, сократить количество мероприятий,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сделав их более направленными на достижение конкретных результатов,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избежать дублирования того,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саду и на уровне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определив степень и роль своего участия (фасилитатор, модератор, эксперт и т.д.)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Проведенная экспертиза программ развития дошкольных образовательных организации стала действенным тому подтверждением. Наряду с этим, стало очевидно, что количество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дошкольных образовательных организаций как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экспериментальной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должно не только увеличиться, но и определены возможности их включенного участия. Так расширилось количество мотивированных участников работы Школы аудита, появились новые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форматы адресной поддержки и сопровождения руководителей и представителей отдельных детских садов, а также запрос на разработку и реализацию программы повышения квалификации «Управление качеством дошкольной образовательной организации» для руководителей. 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период проведения экспериментальной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произошло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изменений в нормативно-правовых документах федерального и регионального уровня, 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оценки качества дошкольного образования.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целом, это не повлияло на видоизменение структуры и содержания разработанной и апробированной карты внутренне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оценки качества деятельности дошкольной образовательной организации. Скорее, предопределило для руководителей понимание её назначения для управления качеством в конкретном детском саду и на уровне районной системы управления образованием. Одновременно, 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асть учреждений района стали участниками МКДО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У них появил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сь возможность сравнивать существующие инструменты оценки качества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понимать целевое назначение разработанной на уровне района карты внутренней оценки качества деятельности дошкольной образовательной организации, ее инструментальный характер, не трудоемкость и эффект последействия, когда руководит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 владеет информацией, являющейся основанием для принятия управленческих решений и управления качеством дошкольной образовательной организации. В связи с тем, что количество руководителей, овладевших отдельными инструментами оценки качества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дошкольной образовательной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меньше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желаемого и был запрос на обучение со стороны руководителей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была реализована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них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повышения квалификации «Управление качеством дошкольной образовательной орга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низации». Это дало возможность не только обогатить опыт оценки руководителями качества деятельности дошкольных образовательных организаций, но и выступить в роли экспертов оценки имеющего инструментария, предложив обновление разработанной и апробированной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уровне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карты внутренней оценки качества деятельности дошкольной образовательной организации. 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целом следует отметить, что преимуществом разработанной на уровне района вариативной модели оценки качества образования на основе интеграции результатов оценочных процедур является включение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районного уровня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дошкольн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тельных организацией, их кластеризации,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появлением нового инструмента оценки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качества внутренней оценки деятельности и эффектов его использования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Справочно: участниками «Школы аудита» - 2020/2021 являлись руководители ДОУ: №№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6, 7, 23, 24, 28, 31, 113, 428, 371</w:t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Исполнитель,</w:t>
      </w:r>
      <w:r>
        <w:rPr>
          <w:rFonts w:ascii="Times New Roman" w:hAnsi="Times New Roman" w:cs="Times New Roman"/>
          <w:sz w:val="18"/>
          <w:szCs w:val="24"/>
          <w:highlight w:val="none"/>
        </w:rPr>
      </w:r>
      <w:r/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Кириченко Е.С., методист ГБУ ДППО ЦПКС ИМЦ</w:t>
      </w:r>
      <w:r>
        <w:rPr>
          <w:rFonts w:ascii="Times New Roman" w:hAnsi="Times New Roman" w:cs="Times New Roman"/>
          <w:sz w:val="18"/>
          <w:szCs w:val="24"/>
          <w:highlight w:val="none"/>
        </w:rPr>
      </w:r>
      <w:r/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Московского района Санкт-Петербурга</w:t>
      </w:r>
      <w:r>
        <w:rPr>
          <w:rFonts w:ascii="Times New Roman" w:hAnsi="Times New Roman" w:cs="Times New Roman"/>
          <w:sz w:val="18"/>
          <w:szCs w:val="24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>
    <w:name w:val="Hyperlink"/>
    <w:basedOn w:val="812"/>
    <w:uiPriority w:val="99"/>
    <w:unhideWhenUsed/>
    <w:rPr>
      <w:color w:val="0563C1" w:themeColor="hyperlink"/>
      <w:u w:val="single"/>
    </w:rPr>
  </w:style>
  <w:style w:type="character" w:styleId="816">
    <w:name w:val="FollowedHyperlink"/>
    <w:basedOn w:val="812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Таратухина</dc:creator>
  <cp:keywords/>
  <dc:description/>
  <cp:lastModifiedBy>Екатерина Кириченко</cp:lastModifiedBy>
  <cp:revision>8</cp:revision>
  <dcterms:created xsi:type="dcterms:W3CDTF">2022-01-11T12:54:00Z</dcterms:created>
  <dcterms:modified xsi:type="dcterms:W3CDTF">2022-07-08T05:30:49Z</dcterms:modified>
</cp:coreProperties>
</file>