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>
        <w:trPr>
          <w:trHeight w:val="284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/>
            <w:bookmarkStart w:id="0" w:name="_Hlk107235654"/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object w:dxaOrig="1140" w:dyaOrig="103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57.0pt;height:51.6pt;" filled="f" stroked="f">
                  <v:path textboxrect="0,0,0,0"/>
                  <v:imagedata r:id="rId9" o:title=""/>
                </v:shape>
                <o:OLEObject DrawAspect="Content" r:id="rId10" ObjectID="_1525040" ProgID="MSPhotoEd.3" ShapeID="_x0000_i0" Type="Embed"/>
              </w:objec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Государственное бюджетное учреждение дополнительного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профессионального педагогического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центр повышения квалификации специалистов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  <w:r/>
          </w:p>
          <w:p>
            <w:pPr>
              <w:jc w:val="center"/>
              <w:keepNext/>
              <w:spacing w:after="0" w:line="240" w:lineRule="auto"/>
              <w:tabs>
                <w:tab w:val="left" w:pos="3680" w:leader="none"/>
              </w:tabs>
              <w:rPr>
                <w:rFonts w:ascii="Times New Roman" w:hAnsi="Times New Roman" w:cs="Times New Roman" w:eastAsia="Times New Roman"/>
                <w:sz w:val="26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eastAsia="ru-RU"/>
              </w:rPr>
              <w:t xml:space="preserve">Московского района Санкт-Петербурга</w:t>
            </w:r>
            <w:r/>
          </w:p>
        </w:tc>
      </w:tr>
      <w:tr>
        <w:trPr>
          <w:trHeight w:val="143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196135, Санкт-Петербург, ул. Ленсовета, д.6, т. 241-37-93</w:t>
            </w:r>
            <w:r/>
          </w:p>
          <w:p>
            <w:pPr>
              <w:jc w:val="center"/>
              <w:keepNext/>
              <w:spacing w:before="480" w:after="240" w:line="240" w:lineRule="auto"/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t xml:space="preserve">АНАЛИТИЧЕСКАЯ СПРАВКА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«Управление качеством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Московского района Санкт-Петербурга»</w:t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2021-2022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учебный год</w:t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</w:t>
      </w:r>
      <w:bookmarkEnd w:id="0"/>
      <w:r/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системы мониторинга качества дошкольного образования (</w:t>
      </w:r>
      <w:hyperlink r:id="rId11" w:tooltip="https://do2021.niko.institute/research/municipal-monitoring" w:history="1">
        <w:r>
          <w:rPr>
            <w:rStyle w:val="821"/>
            <w:rFonts w:ascii="Times New Roman" w:hAnsi="Times New Roman" w:cs="Times New Roman"/>
            <w:sz w:val="24"/>
            <w:szCs w:val="24"/>
          </w:rPr>
          <w:t xml:space="preserve">МКДО-2021</w:t>
        </w:r>
      </w:hyperlink>
      <w:r/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), п</w:t>
      </w:r>
      <w:r>
        <w:rPr>
          <w:rFonts w:ascii="Times New Roman" w:hAnsi="Times New Roman" w:cs="Times New Roman"/>
          <w:sz w:val="24"/>
          <w:szCs w:val="24"/>
        </w:rPr>
        <w:t xml:space="preserve">оложени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о районной системе оценки качества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Московского района Санкт-Петербурга определены задачи, критерии и показатели по </w:t>
      </w:r>
      <w:r>
        <w:rPr>
          <w:rFonts w:ascii="Times New Roman" w:hAnsi="Times New Roman" w:cs="Times New Roman"/>
          <w:sz w:val="24"/>
          <w:szCs w:val="24"/>
        </w:rPr>
        <w:t xml:space="preserve">оценк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педагогических работников дошкольного образования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овышение качества управления в </w:t>
      </w:r>
      <w:r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организациях</w:t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Критери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обработка и анализ информации внутренней и внешней оценки совершенствования педагогической работы в ДОО, по результатам МКДО – 2021;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мониторинговой деятельности обращалось внимание на самооценку педагогов, анкетирование родителей (степень вовлеченности, степень удовлетворенности), на внутреннюю оценку и экспертную оценку.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нно-аналитическая справка представлена основе мониторинга качества дошкольного образования (МКДО – 2021), на основе опроса родительской общественности и заявительной информации от образовательных организаций, реализующих программу дошкольного образования.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принимали участие 12 образовательных учреждений, реализующих программы дошкольного образования: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_Hlk106274805"/>
      <w:r>
        <w:rPr>
          <w:rFonts w:ascii="Times New Roman" w:hAnsi="Times New Roman" w:cs="Times New Roman"/>
          <w:sz w:val="24"/>
          <w:szCs w:val="24"/>
        </w:rPr>
        <w:t xml:space="preserve">ГБДОУ детский сад №4 Московского района Санкт-Петербурга;</w:t>
      </w:r>
      <w:bookmarkEnd w:id="2"/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№6 компенсирующего вида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№8 комбинированного вида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№23 комбинированного вида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№28 с приоритетным осуществлением деятельности по познавательно-речевому развитию детей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№29 комбинированного вида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№34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№35 компенсирующего вида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№37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№45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№355 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присмотра и оздоровления «Детский оздоровительный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городок «Малыш «Московского района Санкт-Петербурга;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8"/>
        <w:tblW w:w="0" w:type="auto"/>
        <w:tblLook w:val="04A0" w:firstRow="1" w:lastRow="0" w:firstColumn="1" w:lastColumn="0" w:noHBand="0" w:noVBand="1"/>
      </w:tblPr>
      <w:tblGrid>
        <w:gridCol w:w="1927"/>
        <w:gridCol w:w="1323"/>
        <w:gridCol w:w="1557"/>
        <w:gridCol w:w="1952"/>
        <w:gridCol w:w="1301"/>
        <w:gridCol w:w="1285"/>
      </w:tblGrid>
      <w:tr>
        <w:trPr/>
        <w:tc>
          <w:tcPr>
            <w:shd w:val="clear" w:color="auto" w:fill="d5dce4" w:themeFill="text2" w:themeFillTint="33"/>
            <w:tcW w:w="18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Области качества/ Группы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показателей</w:t>
            </w:r>
            <w:r/>
          </w:p>
        </w:tc>
        <w:tc>
          <w:tcPr>
            <w:gridSpan w:val="5"/>
            <w:shd w:val="clear" w:color="auto" w:fill="d0cece" w:themeFill="background2" w:themeFillShade="E6"/>
            <w:tcW w:w="74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Средний балл</w:t>
            </w:r>
            <w:r/>
          </w:p>
        </w:tc>
      </w:tr>
      <w:tr>
        <w:trPr/>
        <w:tc>
          <w:tcPr>
            <w:shd w:val="clear" w:color="auto" w:fill="d5dce4" w:themeFill="text2" w:themeFillTint="33"/>
            <w:tcW w:w="187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d9e2f3" w:themeFill="accent1" w:themeFillTint="33"/>
            <w:tcW w:w="133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Самооценка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педагогов</w:t>
            </w:r>
            <w:r/>
          </w:p>
        </w:tc>
        <w:tc>
          <w:tcPr>
            <w:gridSpan w:val="2"/>
            <w:shd w:val="clear" w:color="auto" w:fill="d9e2f3" w:themeFill="accent1" w:themeFillTint="33"/>
            <w:tcW w:w="3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Анкетирование родителей</w:t>
            </w:r>
            <w:r/>
          </w:p>
        </w:tc>
        <w:tc>
          <w:tcPr>
            <w:shd w:val="clear" w:color="auto" w:fill="d9e2f3" w:themeFill="accent1" w:themeFillTint="33"/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Внутренняя оценка</w:t>
            </w:r>
            <w:r/>
          </w:p>
        </w:tc>
        <w:tc>
          <w:tcPr>
            <w:shd w:val="clear" w:color="auto" w:fill="d9e2f3" w:themeFill="accent1" w:themeFillTint="33"/>
            <w:tcW w:w="12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Экспертная оценка</w:t>
            </w:r>
            <w:r/>
          </w:p>
        </w:tc>
      </w:tr>
      <w:tr>
        <w:trPr/>
        <w:tc>
          <w:tcPr>
            <w:shd w:val="clear" w:color="auto" w:fill="d5dce4" w:themeFill="text2" w:themeFillTint="33"/>
            <w:tcW w:w="187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33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b4c6e7" w:themeFill="accent1" w:themeFillTint="66"/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Степень вовлеченности</w:t>
            </w:r>
            <w:r/>
          </w:p>
        </w:tc>
        <w:tc>
          <w:tcPr>
            <w:shd w:val="clear" w:color="auto" w:fill="b4c6e7" w:themeFill="accent1" w:themeFillTint="66"/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удовлетворенности</w:t>
            </w:r>
            <w:r/>
          </w:p>
        </w:tc>
        <w:tc>
          <w:tcPr>
            <w:tcW w:w="131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29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gridSpan w:val="6"/>
            <w:shd w:val="clear" w:color="auto" w:fill="fbe4d5" w:themeFill="accent2" w:themeFillTint="3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и развитие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организация работы в ГРУППЕ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3.16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3.08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Мониторинг, измерения, анализ в ГРУППЕ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3.35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3.08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образовательной деятельности в ГРУППЕ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3.00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2.92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Документирование образовательной деятельности ДОО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3.79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3.50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организационными процессами ДОО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3.07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2.92</w:t>
            </w:r>
            <w:r/>
          </w:p>
        </w:tc>
      </w:tr>
      <w:tr>
        <w:trPr>
          <w:trHeight w:val="58"/>
        </w:trPr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качеством дошкольного образования в ДОО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3.36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2.83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персоналом ДОО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3.64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3.17</w:t>
            </w:r>
            <w:r/>
          </w:p>
        </w:tc>
      </w:tr>
      <w:tr>
        <w:trPr/>
        <w:tc>
          <w:tcPr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ДОО</w:t>
            </w:r>
            <w:r/>
          </w:p>
        </w:tc>
        <w:tc>
          <w:tcPr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3.64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3.17</w:t>
            </w:r>
            <w:r/>
          </w:p>
        </w:tc>
      </w:tr>
      <w:tr>
        <w:trPr/>
        <w:tc>
          <w:tcPr>
            <w:shd w:val="clear" w:color="auto" w:fill="fff2cc" w:themeFill="accent4" w:themeFillTint="33"/>
            <w:tcW w:w="1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области качества Управление и развитие</w:t>
            </w:r>
            <w:r/>
          </w:p>
        </w:tc>
        <w:tc>
          <w:tcPr>
            <w:shd w:val="clear" w:color="auto" w:fill="fff2cc" w:themeFill="accent4" w:themeFillTint="33"/>
            <w:tcW w:w="1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2cc" w:themeFill="accent4" w:themeFillTint="33"/>
            <w:tcW w:w="1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2cc" w:themeFill="accent4" w:themeFillTint="33"/>
            <w:tcW w:w="1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2cc" w:themeFill="accent4" w:themeFillTint="33"/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3.38</w:t>
            </w:r>
            <w:r/>
          </w:p>
        </w:tc>
        <w:tc>
          <w:tcPr>
            <w:shd w:val="clear" w:color="auto" w:fill="fff2cc" w:themeFill="accent4" w:themeFillTint="33"/>
            <w:tcW w:w="12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3.08</w:t>
            </w:r>
            <w:r/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Style w:val="818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>
        <w:trPr/>
        <w:tc>
          <w:tcPr>
            <w:shd w:val="clear" w:color="auto" w:fill="d9e2f3" w:themeFill="accent1" w:themeFillTint="33"/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/>
            <w:bookmarkStart w:id="3" w:name="_Hlk10628498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ДОО Московского района Санкт-Петербурга</w:t>
            </w:r>
            <w:r/>
          </w:p>
        </w:tc>
        <w:tc>
          <w:tcPr>
            <w:shd w:val="clear" w:color="auto" w:fill="d9e2f3" w:themeFill="accent1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и развитие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№4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№6</w:t>
            </w:r>
            <w:r/>
          </w:p>
        </w:tc>
        <w:tc>
          <w:tcPr>
            <w:shd w:val="clear" w:color="auto" w:fill="ff000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2.80</w:t>
            </w:r>
            <w:r/>
          </w:p>
        </w:tc>
      </w:tr>
      <w:tr>
        <w:trPr>
          <w:trHeight w:val="58"/>
        </w:trPr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№8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3.20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№23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3.40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№28</w:t>
            </w:r>
            <w:r/>
          </w:p>
        </w:tc>
        <w:tc>
          <w:tcPr>
            <w:shd w:val="clear" w:color="auto" w:fill="92d05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№29</w:t>
            </w:r>
            <w:r/>
          </w:p>
        </w:tc>
        <w:tc>
          <w:tcPr>
            <w:shd w:val="clear" w:color="auto" w:fill="ff000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2.80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№34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№35</w:t>
            </w:r>
            <w:r/>
          </w:p>
        </w:tc>
        <w:tc>
          <w:tcPr>
            <w:shd w:val="clear" w:color="auto" w:fill="c0000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№37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3.60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№45</w:t>
            </w:r>
            <w:r/>
          </w:p>
        </w:tc>
        <w:tc>
          <w:tcPr>
            <w:shd w:val="clear" w:color="auto" w:fill="fff2cc" w:themeFill="accent4" w:themeFillTint="33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3.80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№355</w:t>
            </w:r>
            <w:r/>
          </w:p>
        </w:tc>
        <w:tc>
          <w:tcPr>
            <w:shd w:val="clear" w:color="auto" w:fill="c0000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1.20</w:t>
            </w:r>
            <w:r/>
          </w:p>
        </w:tc>
      </w:tr>
      <w:tr>
        <w:trPr>
          <w:trHeight w:val="221"/>
        </w:trPr>
        <w:tc>
          <w:tcPr>
            <w:shd w:val="clear" w:color="auto" w:fill="auto"/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«ДОГ Малыш»</w:t>
            </w:r>
            <w:r/>
          </w:p>
        </w:tc>
        <w:tc>
          <w:tcPr>
            <w:shd w:val="clear" w:color="auto" w:fill="92d050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4.80</w:t>
            </w:r>
            <w:bookmarkEnd w:id="3"/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4" w:name="_Hlk106285556"/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№</w:t>
      </w:r>
      <w:r>
        <w:rPr>
          <w:rFonts w:ascii="Times New Roman" w:hAnsi="Times New Roman" w:cs="Times New Roman"/>
          <w:sz w:val="24"/>
          <w:szCs w:val="24"/>
        </w:rPr>
        <w:t xml:space="preserve">№ 35, 355</w:t>
      </w:r>
      <w:r>
        <w:rPr>
          <w:rFonts w:ascii="Times New Roman" w:hAnsi="Times New Roman" w:cs="Times New Roman"/>
          <w:sz w:val="24"/>
          <w:szCs w:val="24"/>
        </w:rPr>
        <w:t xml:space="preserve"> требуется серьезная работа по повышению качества</w:t>
      </w:r>
      <w:r>
        <w:rPr>
          <w:rFonts w:ascii="Times New Roman" w:hAnsi="Times New Roman" w:cs="Times New Roman"/>
          <w:sz w:val="24"/>
          <w:szCs w:val="24"/>
        </w:rPr>
        <w:t xml:space="preserve">, п</w:t>
      </w:r>
      <w:r>
        <w:rPr>
          <w:rFonts w:ascii="Times New Roman" w:hAnsi="Times New Roman" w:cs="Times New Roman"/>
          <w:sz w:val="24"/>
          <w:szCs w:val="24"/>
        </w:rPr>
        <w:t xml:space="preserve">ервый уровень качества свидетельствует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том, что деятельность в оцениваемом направлении ведется на элементарном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 и требуется серьезная работа по ее совершенствованию,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регистрируемый уровень качества сопровождается значительными недочетами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нарушениями нормативно-правовых требований в сфере дошкольного образования.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№№ </w:t>
      </w:r>
      <w:r>
        <w:rPr>
          <w:rFonts w:ascii="Times New Roman" w:hAnsi="Times New Roman" w:cs="Times New Roman"/>
          <w:sz w:val="24"/>
          <w:szCs w:val="24"/>
        </w:rPr>
        <w:t xml:space="preserve">6, 29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ачество стремится к базовому. Этот уровень свидетельствует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в ДОО практически полностью выполняются требования нормативно-правовых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актов в сфере дошкольного образования, но базовый уровень качества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достигается из-за 1–3 недочетов / нарушений. Деятельность в направлении,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описываемом показателем, ведется регулярно.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№№ </w:t>
      </w:r>
      <w:r>
        <w:rPr>
          <w:rFonts w:ascii="Times New Roman" w:hAnsi="Times New Roman" w:cs="Times New Roman"/>
          <w:sz w:val="24"/>
          <w:szCs w:val="24"/>
        </w:rPr>
        <w:t xml:space="preserve">4, 8, 23, 34, 37, 45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</w:rPr>
        <w:t xml:space="preserve">3-й уровень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>
        <w:rPr>
          <w:rFonts w:ascii="Times New Roman" w:hAnsi="Times New Roman" w:cs="Times New Roman"/>
          <w:sz w:val="24"/>
          <w:szCs w:val="24"/>
        </w:rPr>
        <w:t xml:space="preserve">азовый. На данном уровне качества в ДОО обеспечивается базовое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требований ФГОС ДО и других нормативно-правовых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регулирующих деятельность дошкольного образования РФ. На данном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наличие системного подхода к работе по измеряемому направлению.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Системная работа подразумевает наличие не только отдельных требуемых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элементов системы, но и выстроенных связей и отношений между ними,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ДОО решать задачу комплексно, с учетом разносторонних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способностей, потребностей и интересов воспитанников ДОО.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Лидерами </w:t>
      </w:r>
      <w:r>
        <w:rPr>
          <w:rFonts w:ascii="Times New Roman" w:hAnsi="Times New Roman" w:cs="Times New Roman"/>
          <w:sz w:val="24"/>
          <w:szCs w:val="24"/>
        </w:rPr>
        <w:t xml:space="preserve">является ГБДОУ ДОГ «Малыш», ГБДОУ №28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4-й уровень. Хорошее качество. Данный уровень фиксируется при превышении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базового уровня качества в ДОО. Такая ДОО предоставляет детям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для образования. Данный уровень указывает на наличие средового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подхода к работе по измеряемому направлению, что подразумевает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ДОО создать эффективную образовательную среду с учетом разносторонних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способностей, потребностей и интересов воспитанников ДОО 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взаимосвязи с внешней средой.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ДОО 4-го уровня нацелены на постоянное совершенствование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характеризуются активным вовлечением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ДОО и родителей воспитанников в принятие решений, стремятся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эффективному управлению ресурсами организации, в том числе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знаниями как важнейшим ресурсом организации.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Плановый уровень в 2022-2023 году в направлении «оценка качества образовательной деятельности» - 4.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sz w:val="24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Исполнитель,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Кириченко Е.С., методист ГБУ ДППО ЦПКС ИМЦ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Московского района Санкт-Петербурга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20"/>
        <w:ind w:right="490"/>
        <w:jc w:val="both"/>
        <w:spacing w:before="183" w:beforeAutospacing="0" w:after="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</w:r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4"/>
    <w:next w:val="81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5"/>
    <w:link w:val="658"/>
    <w:uiPriority w:val="10"/>
    <w:rPr>
      <w:sz w:val="48"/>
      <w:szCs w:val="48"/>
    </w:rPr>
  </w:style>
  <w:style w:type="paragraph" w:styleId="660">
    <w:name w:val="Subtitle"/>
    <w:basedOn w:val="814"/>
    <w:next w:val="81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5"/>
    <w:link w:val="660"/>
    <w:uiPriority w:val="11"/>
    <w:rPr>
      <w:sz w:val="24"/>
      <w:szCs w:val="24"/>
    </w:rPr>
  </w:style>
  <w:style w:type="paragraph" w:styleId="662">
    <w:name w:val="Quote"/>
    <w:basedOn w:val="814"/>
    <w:next w:val="814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4"/>
    <w:next w:val="814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5"/>
    <w:link w:val="666"/>
    <w:uiPriority w:val="99"/>
  </w:style>
  <w:style w:type="paragraph" w:styleId="668">
    <w:name w:val="Footer"/>
    <w:basedOn w:val="81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5"/>
    <w:link w:val="668"/>
    <w:uiPriority w:val="99"/>
  </w:style>
  <w:style w:type="paragraph" w:styleId="670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9">
    <w:name w:val="Strong"/>
    <w:basedOn w:val="815"/>
    <w:uiPriority w:val="22"/>
    <w:qFormat/>
    <w:rPr>
      <w:b/>
      <w:bCs/>
    </w:rPr>
  </w:style>
  <w:style w:type="paragraph" w:styleId="820">
    <w:name w:val="Normal (Web)"/>
    <w:basedOn w:val="8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1">
    <w:name w:val="Hyperlink"/>
    <w:basedOn w:val="815"/>
    <w:uiPriority w:val="99"/>
    <w:unhideWhenUsed/>
    <w:rPr>
      <w:color w:val="0563C1" w:themeColor="hyperlink"/>
      <w:u w:val="single"/>
    </w:rPr>
  </w:style>
  <w:style w:type="character" w:styleId="822">
    <w:name w:val="Unresolved Mention"/>
    <w:basedOn w:val="81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hyperlink" Target="https://do2021.niko.institute/research/municipal-monitori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Кириченко</cp:lastModifiedBy>
  <cp:revision>30</cp:revision>
  <dcterms:created xsi:type="dcterms:W3CDTF">2022-06-16T08:45:00Z</dcterms:created>
  <dcterms:modified xsi:type="dcterms:W3CDTF">2022-07-08T06:22:14Z</dcterms:modified>
</cp:coreProperties>
</file>